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6"/>
      </w:tblGrid>
      <w:tr w:rsidR="00BA2001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2001" w:rsidRDefault="00436900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BA2001" w:rsidRDefault="00436900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10123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222"/>
        <w:gridCol w:w="1500"/>
        <w:gridCol w:w="2461"/>
      </w:tblGrid>
      <w:tr w:rsidR="00BA2001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43690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BA2001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BA2001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BA2001">
            <w:pPr>
              <w:rPr>
                <w:sz w:val="24"/>
              </w:rPr>
            </w:pPr>
          </w:p>
        </w:tc>
      </w:tr>
      <w:tr w:rsidR="00BA2001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BA2001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BA2001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BA2001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43690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BA2001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BA2001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436900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43690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BA2001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43690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2022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436900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43690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01.01.2022</w:t>
            </w:r>
          </w:p>
        </w:tc>
      </w:tr>
      <w:tr w:rsidR="00BA2001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43690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BA2001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436900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 субъекта бюджетной отчетности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436900">
            <w:pPr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</w:t>
            </w:r>
          </w:p>
        </w:tc>
      </w:tr>
      <w:tr w:rsidR="00BA2001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436900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получатель бюджетных средств, главный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администратор, 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BA2001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BA2001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BA2001">
            <w:pPr>
              <w:rPr>
                <w:sz w:val="20"/>
              </w:rPr>
            </w:pPr>
          </w:p>
        </w:tc>
      </w:tr>
      <w:tr w:rsidR="00BA2001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436900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BA2001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436900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436900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06470126</w:t>
            </w:r>
          </w:p>
        </w:tc>
      </w:tr>
      <w:tr w:rsidR="00BA2001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436900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BA2001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BA2001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BA2001">
            <w:pPr>
              <w:rPr>
                <w:sz w:val="20"/>
              </w:rPr>
            </w:pPr>
          </w:p>
        </w:tc>
      </w:tr>
      <w:tr w:rsidR="00BA2001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436900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BA2001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BA2001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BA2001">
            <w:pPr>
              <w:rPr>
                <w:sz w:val="20"/>
              </w:rPr>
            </w:pPr>
          </w:p>
        </w:tc>
      </w:tr>
      <w:tr w:rsidR="00BA2001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43690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МИНИСТЕРСТВО ЦИФРОВОГО РАЗВИТИЯ, ТРАНСПОРТА И СВЯЗИ ПЕНЗЕНСКОЙ ОБЛАСТИ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BA2001" w:rsidRDefault="0043690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436900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43690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819</w:t>
            </w:r>
          </w:p>
        </w:tc>
      </w:tr>
      <w:tr w:rsidR="00BA2001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43690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BA2001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BA2001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BA2001">
            <w:pPr>
              <w:rPr>
                <w:sz w:val="24"/>
              </w:rPr>
            </w:pPr>
          </w:p>
        </w:tc>
      </w:tr>
      <w:tr w:rsidR="00BA2001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43690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субъекта РФ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BA2001" w:rsidRDefault="00436900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436900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436900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56000000</w:t>
            </w:r>
          </w:p>
        </w:tc>
      </w:tr>
      <w:tr w:rsidR="00BA2001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43690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BA2001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BA2001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BA2001">
            <w:pPr>
              <w:rPr>
                <w:sz w:val="24"/>
              </w:rPr>
            </w:pPr>
          </w:p>
        </w:tc>
      </w:tr>
      <w:tr w:rsidR="00BA2001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43690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BA2001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436900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43690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BA2001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BA2001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BA2001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BA2001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BA2001">
            <w:pPr>
              <w:rPr>
                <w:sz w:val="24"/>
              </w:rPr>
            </w:pPr>
          </w:p>
        </w:tc>
      </w:tr>
      <w:tr w:rsidR="00BA2001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BA2001">
            <w:pPr>
              <w:rPr>
                <w:sz w:val="24"/>
              </w:rPr>
            </w:pPr>
          </w:p>
        </w:tc>
      </w:tr>
    </w:tbl>
    <w:p w:rsidR="00BA2001" w:rsidRDefault="00436900">
      <w:pPr>
        <w:numPr>
          <w:ilvl w:val="0"/>
          <w:numId w:val="1"/>
        </w:numPr>
        <w:spacing w:line="300" w:lineRule="atLeast"/>
        <w:ind w:left="1060"/>
        <w:jc w:val="center"/>
        <w:rPr>
          <w:rFonts w:ascii="Calibri" w:eastAsia="Calibri" w:hAnsi="Calibri" w:cs="Calibri"/>
          <w:b/>
          <w:color w:val="000000"/>
          <w:sz w:val="2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Организационная структура</w:t>
      </w:r>
    </w:p>
    <w:p w:rsidR="00BA2001" w:rsidRDefault="00436900">
      <w:pPr>
        <w:spacing w:line="300" w:lineRule="atLeast"/>
        <w:ind w:left="1060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BA2001" w:rsidRDefault="00436900">
      <w:pPr>
        <w:spacing w:line="300" w:lineRule="atLeast"/>
        <w:ind w:left="1060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Министерство цифрового развития, транспорта и связи Пензенской области (далее – Министерство) является исполнительным органом государственной власти Пензенской области. Вышестоящая организация – Правительство Пензенской области. Министерство создано на осн</w:t>
      </w:r>
      <w:r>
        <w:rPr>
          <w:rFonts w:ascii="Calibri" w:eastAsia="Calibri" w:hAnsi="Calibri" w:cs="Calibri"/>
          <w:color w:val="000000"/>
          <w:sz w:val="28"/>
          <w:szCs w:val="28"/>
        </w:rPr>
        <w:t>овании постановления Правительства Пензенской области от 08.12.2016 г.  № 621-пП «Отдельные вопросы исполнительных органов государственной власти Пензенской области». Поставлено на учет в налоговом органе 31.01.2017 г. Переименовано в Министерство цифровог</w:t>
      </w:r>
      <w:r>
        <w:rPr>
          <w:rFonts w:ascii="Calibri" w:eastAsia="Calibri" w:hAnsi="Calibri" w:cs="Calibri"/>
          <w:color w:val="000000"/>
          <w:sz w:val="28"/>
          <w:szCs w:val="28"/>
        </w:rPr>
        <w:t>о развития, транспорта и связи Пензенской области на основании постановления Правительства Пензенской области от 12.07.2021 г. № 410-пП «Отдельные вопросы исполнительных органов государственной власти Пензенской области». Дата регистрации изменений в налог</w:t>
      </w:r>
      <w:r>
        <w:rPr>
          <w:rFonts w:ascii="Calibri" w:eastAsia="Calibri" w:hAnsi="Calibri" w:cs="Calibri"/>
          <w:color w:val="000000"/>
          <w:sz w:val="28"/>
          <w:szCs w:val="28"/>
        </w:rPr>
        <w:t>овом органе 08.10.2021 г.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Юридический адрес: 440025, г. Пенза ул. Московская,75.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Численность Министерства по штатному расписанию - 31 человек, на 01.01.2022 - 26 человек.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Источники финансирования: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Бюджет Пензенской области на реализацию государственных </w:t>
      </w:r>
      <w:r>
        <w:rPr>
          <w:rFonts w:ascii="Calibri" w:eastAsia="Calibri" w:hAnsi="Calibri" w:cs="Calibri"/>
          <w:color w:val="000000"/>
          <w:sz w:val="28"/>
          <w:szCs w:val="28"/>
        </w:rPr>
        <w:t>программ Пензенской области.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Министерство осуществляет отраслевое управление деятельностью в области информационных технологий, транспорта и связи.</w:t>
      </w:r>
    </w:p>
    <w:p w:rsidR="00BA2001" w:rsidRDefault="00436900">
      <w:pPr>
        <w:ind w:firstLine="700"/>
        <w:jc w:val="both"/>
        <w:rPr>
          <w:color w:val="000000"/>
        </w:rPr>
      </w:pP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На основании постановления Правительства Пензенской области от 25.10.2021 г.  № 721-пП «О замене исполнитель</w:t>
      </w:r>
      <w:r>
        <w:rPr>
          <w:rFonts w:ascii="Calibri" w:eastAsia="Calibri" w:hAnsi="Calibri" w:cs="Calibri"/>
          <w:color w:val="000000"/>
          <w:sz w:val="28"/>
          <w:szCs w:val="28"/>
        </w:rPr>
        <w:t>ных органов государственной власти Пензенской области, осуществляющих функции и полномочия учредителей государственных бюджетных и казенного учреждений Пензенской области Министерство является учредителем ГБУ «Безопасный регион», ГБУ ПО «Аэропорт города Пе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нзы», ГКУ «Организатор перевозок Пензенской области». </w:t>
      </w:r>
      <w:proofErr w:type="gramEnd"/>
    </w:p>
    <w:p w:rsidR="00BA2001" w:rsidRDefault="00436900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Численность ГКУ «Организатор перевозок Пензенской области» по штатному расписанию составляет 14 человек, на 01.01.2022 - 10 человек.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 xml:space="preserve">Министерство осуществляет функции главного распорядителя бюджетных </w:t>
      </w:r>
      <w:r>
        <w:rPr>
          <w:rFonts w:ascii="Calibri" w:eastAsia="Calibri" w:hAnsi="Calibri" w:cs="Calibri"/>
          <w:color w:val="000000"/>
          <w:sz w:val="28"/>
          <w:szCs w:val="28"/>
        </w:rPr>
        <w:t>средств, предусмотренных на содержание Министерства и реализацию функций в соответствии с законом Пензенской области о бюджете Пензенской области, а также по утвержденным видам субсидий в рамках государственных программ Пензенской области «Формирование инф</w:t>
      </w:r>
      <w:r>
        <w:rPr>
          <w:rFonts w:ascii="Calibri" w:eastAsia="Calibri" w:hAnsi="Calibri" w:cs="Calibri"/>
          <w:color w:val="000000"/>
          <w:sz w:val="28"/>
          <w:szCs w:val="28"/>
        </w:rPr>
        <w:t>ормационного общества в Пензенской области», утвержденной постановлением Правительства Пензенской области от 05.11.2013 № 815-пП (с последующими изменениями), «Обеспечение общественного порядка и противодействие преступности в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Пензенской области», утвержде</w:t>
      </w:r>
      <w:r>
        <w:rPr>
          <w:rFonts w:ascii="Calibri" w:eastAsia="Calibri" w:hAnsi="Calibri" w:cs="Calibri"/>
          <w:color w:val="000000"/>
          <w:sz w:val="28"/>
          <w:szCs w:val="28"/>
        </w:rPr>
        <w:t>нной постановлением Правительства Пензенской области от 22.10.2013 № 782-пП (с последующими изменениями), «Развитие территорий, социальной и инженерной инфраструктуры, обеспечение транспортных услуг в Пензенской области», утвержденной постановлением Правит</w:t>
      </w:r>
      <w:r>
        <w:rPr>
          <w:rFonts w:ascii="Calibri" w:eastAsia="Calibri" w:hAnsi="Calibri" w:cs="Calibri"/>
          <w:color w:val="000000"/>
          <w:sz w:val="28"/>
          <w:szCs w:val="28"/>
        </w:rPr>
        <w:t>ельства Пензенской области от 26.09.2013 № 724-пП (с последующими изменениями).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Ведение бюджетного учета ведется ГБУ «Управление делами Губернатора и Правительства Пензенской области на основании договора об оказании услуг по ведению бюджетного учета орган</w:t>
      </w:r>
      <w:r>
        <w:rPr>
          <w:rFonts w:ascii="Calibri" w:eastAsia="Calibri" w:hAnsi="Calibri" w:cs="Calibri"/>
          <w:color w:val="000000"/>
          <w:sz w:val="28"/>
          <w:szCs w:val="28"/>
        </w:rPr>
        <w:t>ов исполнительной власти Пензенской области от 11.10.2021 № 22.</w:t>
      </w:r>
    </w:p>
    <w:p w:rsidR="00BA2001" w:rsidRDefault="00436900">
      <w:pPr>
        <w:spacing w:line="300" w:lineRule="atLeast"/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</w:rPr>
        <w:t> </w:t>
      </w:r>
    </w:p>
    <w:p w:rsidR="00BA2001" w:rsidRDefault="00436900">
      <w:pPr>
        <w:spacing w:line="300" w:lineRule="atLeast"/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</w:rPr>
        <w:t> </w:t>
      </w:r>
    </w:p>
    <w:p w:rsidR="00BA2001" w:rsidRDefault="00436900">
      <w:pPr>
        <w:numPr>
          <w:ilvl w:val="0"/>
          <w:numId w:val="2"/>
        </w:numPr>
        <w:spacing w:line="300" w:lineRule="atLeast"/>
        <w:ind w:left="1060"/>
        <w:jc w:val="center"/>
        <w:rPr>
          <w:rFonts w:ascii="Calibri" w:eastAsia="Calibri" w:hAnsi="Calibri" w:cs="Calibri"/>
          <w:b/>
          <w:color w:val="000000"/>
          <w:sz w:val="2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Результаты деятельности</w:t>
      </w:r>
    </w:p>
    <w:p w:rsidR="00BA2001" w:rsidRDefault="00436900">
      <w:pPr>
        <w:spacing w:line="300" w:lineRule="atLeast"/>
        <w:ind w:left="1060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BA2001" w:rsidRDefault="00436900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Объем бюджетных ассигнований за 2021 год составил 596 505,1 тыс. руб., в том числе:</w:t>
      </w:r>
    </w:p>
    <w:p w:rsidR="00BA2001" w:rsidRDefault="00436900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 -   на реализацию государственной программы Пензенской области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«Формирование информационного общества в Пензенской области» – 104 885,8 тыс. руб., </w:t>
      </w:r>
    </w:p>
    <w:p w:rsidR="00BA2001" w:rsidRDefault="00436900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 xml:space="preserve">     -  на реализацию государственной программы Пензенской области «Обеспечение общественного порядка и противодействие преступности в Пензенской области» – 17 791,7 тыс.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руб., </w:t>
      </w:r>
    </w:p>
    <w:p w:rsidR="00BA2001" w:rsidRDefault="00436900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-  на реализацию государственной программы Пензенской области «Развитие территорий, социальной и инженерной инфраструктуры, обеспечение транспортных услуг в Пензенской области» – 473 416,3 тыс. руб.</w:t>
      </w:r>
    </w:p>
    <w:p w:rsidR="00BA2001" w:rsidRDefault="00436900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-  на иные непрограммные расходы органов </w:t>
      </w:r>
      <w:r>
        <w:rPr>
          <w:rFonts w:ascii="Calibri" w:eastAsia="Calibri" w:hAnsi="Calibri" w:cs="Calibri"/>
          <w:color w:val="000000"/>
          <w:sz w:val="28"/>
          <w:szCs w:val="28"/>
        </w:rPr>
        <w:t>государственной власти Пензенской области – 411,3,0 тыс. руб.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Наличие на отчетную дату  основных средств – 59 715,2 тыс. руб., остаточная балансовая стоимость – 10 582,9 тыс. руб., нематериальные активы – 24 018,6 тыс. руб., остаточная балансовая стоимость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– 11 784,4 тыс. руб., основные средства до 3,0 тыс. руб. на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забалансе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– 706,6 тыс. руб., прочие  материальные запасы  – 71,3 тыс. руб.  </w:t>
      </w:r>
      <w:proofErr w:type="gramEnd"/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94% основных средств имеют 100 % амортизацию. Имеется потребность в приобретении офисной техники, офисной мебели. Посл</w:t>
      </w:r>
      <w:r>
        <w:rPr>
          <w:rFonts w:ascii="Calibri" w:eastAsia="Calibri" w:hAnsi="Calibri" w:cs="Calibri"/>
          <w:color w:val="000000"/>
          <w:sz w:val="28"/>
          <w:szCs w:val="28"/>
        </w:rPr>
        <w:t>едний раз обновление компьютерной техники было проведено в 2011 году.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Согласно распоряжению Правительства Пензенской области от 24.09.2021 № 547-рП за ГКУ "Организатор перевозок Пензенской области" закреплено недвижимое имущество на праве оперативного упра</w:t>
      </w:r>
      <w:r>
        <w:rPr>
          <w:rFonts w:ascii="Calibri" w:eastAsia="Calibri" w:hAnsi="Calibri" w:cs="Calibri"/>
          <w:color w:val="000000"/>
          <w:sz w:val="28"/>
          <w:szCs w:val="28"/>
        </w:rPr>
        <w:t>вления по адресу г. Пенза, пр. Победы, д.150 площадью 94,3 кв. м., на сумму 3 493 197,35 рублей.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Сохранность основных средств обеспечивается в рабочее время сотрудниками Министерства, в нерабочее время ГБУ «Управление делами Губернатора и Правительства Пен</w:t>
      </w:r>
      <w:r>
        <w:rPr>
          <w:rFonts w:ascii="Calibri" w:eastAsia="Calibri" w:hAnsi="Calibri" w:cs="Calibri"/>
          <w:color w:val="000000"/>
          <w:sz w:val="28"/>
          <w:szCs w:val="28"/>
        </w:rPr>
        <w:t>зенской области». Основные средства укомплектованы в полном объеме. Материальные запасы приобретаются по мере необходимости.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Объем закупок за отчетный период составил 110 667,3 тыс. руб., в том числе с применением конкурентных способов 82 339,9 тыс. руб. Э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кономия от торгов составила 8 894,5 тыс. руб. 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BA2001" w:rsidRDefault="00436900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Количественные показатели результатов деятельности Министерства цифрового развития, транспорта и связи Пензенской области по достижению стратегических целей и задач социально-экономического развития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Пензенской области за 2021 год  выполнены  в полном объеме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от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плановых, в том числе: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Показатель 1. Доля граждан, проживающих на территории Пензенской области, зарегистрированных в Федеральной государственной информационной системе "Единая система идентифи</w:t>
      </w:r>
      <w:r>
        <w:rPr>
          <w:rFonts w:ascii="Calibri" w:eastAsia="Calibri" w:hAnsi="Calibri" w:cs="Calibri"/>
          <w:color w:val="000000"/>
          <w:sz w:val="28"/>
          <w:szCs w:val="28"/>
        </w:rPr>
        <w:t>кац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ии и ау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тентификации" - 65 %, по плану 65,8 %.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Расходы на курсы повышения квалификации не проводились.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BA2001" w:rsidRDefault="00436900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 </w:t>
      </w:r>
    </w:p>
    <w:p w:rsidR="00BA2001" w:rsidRDefault="00436900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</w:t>
      </w:r>
    </w:p>
    <w:p w:rsidR="00BA2001" w:rsidRDefault="00436900">
      <w:pPr>
        <w:numPr>
          <w:ilvl w:val="0"/>
          <w:numId w:val="3"/>
        </w:numPr>
        <w:ind w:left="1060"/>
        <w:jc w:val="center"/>
        <w:rPr>
          <w:rFonts w:ascii="Calibri" w:eastAsia="Calibri" w:hAnsi="Calibri" w:cs="Calibri"/>
          <w:b/>
          <w:color w:val="000000"/>
          <w:sz w:val="2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Анализ отчета об исполнении бюджета</w:t>
      </w:r>
    </w:p>
    <w:p w:rsidR="00BA2001" w:rsidRDefault="00436900">
      <w:pPr>
        <w:ind w:left="1060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 xml:space="preserve">Неоднократно вносились изменения в бюджетную роспись в соответствии с Законом Пензенской области </w:t>
      </w:r>
      <w:r>
        <w:rPr>
          <w:rFonts w:ascii="Calibri" w:eastAsia="Calibri" w:hAnsi="Calibri" w:cs="Calibri"/>
          <w:color w:val="000000"/>
          <w:sz w:val="28"/>
          <w:szCs w:val="28"/>
        </w:rPr>
        <w:t>«О внесении изменений в Закон Пензенской области «О бюджете Пензенской области на 2021 год и на плановый период 2022 и 2023 годов» от 29.04.2021 № 3641-ЗПО,  от 15.06.2021 № 3659-ЗПО, от 30.07.2021 № 3683-ЗПО, от 10.09.2021 № 3710-ЗПО, от 22.10.2021 № 3743</w:t>
      </w:r>
      <w:r>
        <w:rPr>
          <w:rFonts w:ascii="Calibri" w:eastAsia="Calibri" w:hAnsi="Calibri" w:cs="Calibri"/>
          <w:color w:val="000000"/>
          <w:sz w:val="28"/>
          <w:szCs w:val="28"/>
        </w:rPr>
        <w:t>-ЗПО, от 20.12.2021 № 3768-ЗПО как в строну уменьшения ассигнований, так и в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сторону увеличения объемов ассигнований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Данные о результатах кассового исполнения бюджета Управления, отклонения между плановыми и фактическими показателями, причины отклонений ме</w:t>
      </w:r>
      <w:r>
        <w:rPr>
          <w:rFonts w:ascii="Calibri" w:eastAsia="Calibri" w:hAnsi="Calibri" w:cs="Calibri"/>
          <w:color w:val="000000"/>
          <w:sz w:val="28"/>
          <w:szCs w:val="28"/>
        </w:rPr>
        <w:t>жду суммами исполненных бюджетных назначений и данными уточненной бюджетной росписи  отражены в форме № 0503164 «Сведения о кассовом исполнении бюджета».  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В рамках реализации национального проекта «Цифровая экономика», сформированы региональные проекты: </w:t>
      </w:r>
      <w:r>
        <w:rPr>
          <w:rFonts w:ascii="Calibri" w:eastAsia="Calibri" w:hAnsi="Calibri" w:cs="Calibri"/>
          <w:color w:val="000000"/>
          <w:sz w:val="28"/>
          <w:szCs w:val="28"/>
        </w:rPr>
        <w:t>«Информационная инфраструктура», «Цифровое государственное управление», «Цифровые технологии», «Информационная безопасность», «Кадры для цифровой экономики». Кассовое исполнение по региональному проекту «Информационная безопасность» составило 29 071,4 тыс.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руб., 100 % от плана, по региональному проекту «Цифровое государственное управление» - 5 868,00 тыс. руб., 100 % от плана.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Министерство не осуществляет функции по начислению,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контролю за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начислением и уплатой платежей в бюджет Пензенской области и платн</w:t>
      </w:r>
      <w:r>
        <w:rPr>
          <w:rFonts w:ascii="Calibri" w:eastAsia="Calibri" w:hAnsi="Calibri" w:cs="Calibri"/>
          <w:color w:val="000000"/>
          <w:sz w:val="28"/>
          <w:szCs w:val="28"/>
        </w:rPr>
        <w:t>ые услуги не предоставляет.</w:t>
      </w:r>
    </w:p>
    <w:p w:rsidR="00BA2001" w:rsidRDefault="00436900">
      <w:pPr>
        <w:spacing w:line="300" w:lineRule="atLeast"/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BA2001" w:rsidRDefault="00436900">
      <w:pPr>
        <w:spacing w:line="300" w:lineRule="atLeast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4. Анализ показателей финансовой отчетности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Показатели, характеризующие финансовую отчетность, отражены в  следующих приложениях к  пояснительной записке: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Сведения о движении нефинансовых активов (ф. 0503168);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Приобретены: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видеокамера на сумму 298,0 тыс. руб.;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персональный компьютер – 55,0 тыс. руб.;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- 106 ПАК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VIPnet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– 16 293,9 тыс. руб.;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- 4 сервера – 6 149,8,0 тыс. руб.;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- 9 автобусов ГАЗ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GAZelle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–19 516.4тыс. руб.;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- 4 автобуса КАВЗ – 19 908,00 тыс. руб.;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моноблок – </w:t>
      </w:r>
      <w:r>
        <w:rPr>
          <w:rFonts w:ascii="Calibri" w:eastAsia="Calibri" w:hAnsi="Calibri" w:cs="Calibri"/>
          <w:color w:val="000000"/>
          <w:sz w:val="28"/>
          <w:szCs w:val="28"/>
        </w:rPr>
        <w:t>82,8 тыс. руб.;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документ-сканер – 52,8 тыс. руб.;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офисная мебель – 14,4 тыс. руб.;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жалюзи – 2,3 тыс. руб.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Проведена модернизация нематериального актива «Геоинформационная система для Ситуационного центра Губернатора Пензенской области» на сумму 280,0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тыс. руб.;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Проведена модернизация нематериального актива «Модуль «Сервер сводной отчетности» системы Ситуационного центра Губернатора Пензенской области» на сумму 288,0 тыс. руб.;</w:t>
      </w:r>
    </w:p>
    <w:p w:rsidR="00BA2001" w:rsidRDefault="00436900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 На основании приказов Министерства государственного имущества Пе</w:t>
      </w:r>
      <w:r>
        <w:rPr>
          <w:rFonts w:ascii="Calibri" w:eastAsia="Calibri" w:hAnsi="Calibri" w:cs="Calibri"/>
          <w:color w:val="000000"/>
          <w:sz w:val="28"/>
          <w:szCs w:val="28"/>
        </w:rPr>
        <w:t>нзенской области от 12.04.2021 № 129-пр, от 23.11.2021 № 486-пр, от 22.12.2021 № 559-пр, Распоряжений Правительства Пензенской области от 24.09.2021 № 545-рП, от 27.12.2021 № 785-рП передано безвозмездно исполнительным органам государственной власти, бюдже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тным учреждениям Пензенской области иное движимое имущество на сумму 7 820,8 тыс. руб. </w:t>
      </w:r>
    </w:p>
    <w:p w:rsidR="00BA2001" w:rsidRDefault="00436900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       На основании приказа Министерства государственного имущества Пензенской области от 24.12.2021 № 565-пр переданы безвозмездно транспортные средства ГУП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ПО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«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Об</w:t>
      </w:r>
      <w:r>
        <w:rPr>
          <w:rFonts w:ascii="Calibri" w:eastAsia="Calibri" w:hAnsi="Calibri" w:cs="Calibri"/>
          <w:color w:val="000000"/>
          <w:sz w:val="28"/>
          <w:szCs w:val="28"/>
        </w:rPr>
        <w:t>ластная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газоэнергетическая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компания» в количестве 11 ед. на сумму 35 148,4 тыс. руб.</w:t>
      </w:r>
    </w:p>
    <w:p w:rsidR="00BA2001" w:rsidRDefault="00436900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 На основании приказов Министерства государственного имущества Пензенской области от 20.12.2021 № 549-пр, от 29.12.2021 № 582-пр передано безвозмездно в муниципа</w:t>
      </w:r>
      <w:r>
        <w:rPr>
          <w:rFonts w:ascii="Calibri" w:eastAsia="Calibri" w:hAnsi="Calibri" w:cs="Calibri"/>
          <w:color w:val="000000"/>
          <w:sz w:val="28"/>
          <w:szCs w:val="28"/>
        </w:rPr>
        <w:t>льную собственность районов Пензенской области иное движимое имущество на сумму 5 045,2 тыс. руб.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Сведения по дебиторской и кредиторской задолженности по состоянию на 01.01.2022 г. приведены в ф. 0503169 приложения.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Кредиторская задолженность на 01.01.2022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г. составляет 50,0 тыс. руб., в том числе: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по доходам: невыясненные поступления – 50,0 тыс. руб.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BA2001" w:rsidRDefault="00436900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Дебиторская задолженность, всего -808 406,9 тыс. руб., в том числе:</w:t>
      </w:r>
    </w:p>
    <w:p w:rsidR="00BA2001" w:rsidRDefault="00436900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по доходам:</w:t>
      </w:r>
    </w:p>
    <w:p w:rsidR="00BA2001" w:rsidRDefault="00436900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по статье 151 "Поступления текущего характера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от других бюджетов бюджетной системы Российской Федерации"-807 685,5 тыс. руб., в том числе:</w:t>
      </w:r>
    </w:p>
    <w:p w:rsidR="00BA2001" w:rsidRDefault="00436900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-субсидия из федерального бюджета на поддержку региональных проектов в сфере информационных технологий на 2022-2024 г.- 13 005,6 тыс. руб.;</w:t>
      </w:r>
    </w:p>
    <w:p w:rsidR="00BA2001" w:rsidRDefault="00436900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 xml:space="preserve">          - </w:t>
      </w:r>
      <w:r>
        <w:rPr>
          <w:rFonts w:ascii="Calibri" w:eastAsia="Calibri" w:hAnsi="Calibri" w:cs="Calibri"/>
          <w:color w:val="000000"/>
          <w:sz w:val="28"/>
          <w:szCs w:val="28"/>
        </w:rPr>
        <w:t>субсидия из федерального бюджета на формирование ИТ-инфраструктуры в государственных (муниципальных)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</w:t>
      </w:r>
      <w:r>
        <w:rPr>
          <w:rFonts w:ascii="Calibri" w:eastAsia="Calibri" w:hAnsi="Calibri" w:cs="Calibri"/>
          <w:color w:val="000000"/>
          <w:sz w:val="28"/>
          <w:szCs w:val="28"/>
        </w:rPr>
        <w:t>ственным, муниципальным и иным информационным системам, а также к сети «Интернет» на 2023-2024 г.- 312 995,9 тыс. руб.;</w:t>
      </w:r>
    </w:p>
    <w:p w:rsidR="00BA2001" w:rsidRDefault="00436900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 xml:space="preserve">-субсидия, иной межбюджетный трансферт, имеющий целевое значение в целях внедрения автоматизированных и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робототизированных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тех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нологий организации дорожного движения и контроля за соблюдением правил дорожного движения (внедрения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</w:t>
      </w:r>
      <w:r>
        <w:rPr>
          <w:rFonts w:ascii="Calibri" w:eastAsia="Calibri" w:hAnsi="Calibri" w:cs="Calibri"/>
          <w:color w:val="000000"/>
          <w:sz w:val="28"/>
          <w:szCs w:val="28"/>
        </w:rPr>
        <w:t>с населением свыше 300 тысяч человек) на 2022-2024 г. – 403 167,00 тыс. руб.    </w:t>
      </w:r>
      <w:proofErr w:type="gramEnd"/>
    </w:p>
    <w:p w:rsidR="00BA2001" w:rsidRDefault="00436900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по статье 140 «Расчеты по доходам от прочих сумм принудительного изъятия» - 703,2 тыс. руб., в том числе:</w:t>
      </w:r>
    </w:p>
    <w:p w:rsidR="00BA2001" w:rsidRDefault="00436900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-госпошлина на разрешение таксистской деятельност</w:t>
      </w:r>
      <w:r>
        <w:rPr>
          <w:rFonts w:ascii="Calibri" w:eastAsia="Calibri" w:hAnsi="Calibri" w:cs="Calibri"/>
          <w:color w:val="000000"/>
          <w:sz w:val="28"/>
          <w:szCs w:val="28"/>
        </w:rPr>
        <w:t>и – 674,2 тыс. руб.;</w:t>
      </w:r>
    </w:p>
    <w:p w:rsidR="00BA2001" w:rsidRDefault="00436900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-штрафы по постановлениям об административной ответственности– 29,0 тыс. руб.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расходам – 18,3 тыс. руб., в том числе: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статье 221 «услуги связи» - 11,9 тыс. руб.;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статье 223 «коммунальные услуги» - 5,6 тыс. руб.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ст</w:t>
      </w:r>
      <w:r>
        <w:rPr>
          <w:rFonts w:ascii="Calibri" w:eastAsia="Calibri" w:hAnsi="Calibri" w:cs="Calibri"/>
          <w:color w:val="000000"/>
          <w:sz w:val="28"/>
          <w:szCs w:val="28"/>
        </w:rPr>
        <w:t>атье 226 «прочие работы, услуги» - 0,8 тыс. руб.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Сведения по изменению валюты баланса  приведены в ф. 0503173 приложения. 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изменились остатки валюты баланса по остаточной стоимости прав пользования активами на сумму 4 777,6 тыс. руб., в связи с переходом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на стандарт НМА;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остатки по счету «финансовые вложения» на сумму 192 144,2 тыс. руб. - участие в ГБУ ПО «Аэропорт города Пенза»;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остатки по счету «финансовые активы» на сумму 189,4 тыс. руб. - участие в ГБУ ПО «Аэропорт города Пенза»;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изменились остатки валюты баланса по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забалансовому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счету «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имущество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полученное в пользование» на сумму со знаком «минус» 4 579,6 тыс. руб., в связи с переходом на стандарт НМА. 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Бюджетному учреждению Пензенской области «Безопасный регион» в целях осуще</w:t>
      </w:r>
      <w:r>
        <w:rPr>
          <w:rFonts w:ascii="Calibri" w:eastAsia="Calibri" w:hAnsi="Calibri" w:cs="Calibri"/>
          <w:color w:val="000000"/>
          <w:sz w:val="28"/>
          <w:szCs w:val="28"/>
        </w:rPr>
        <w:t>ствления деятельности, предусмотренной Уставом, утверждены государственные задания:</w:t>
      </w:r>
    </w:p>
    <w:p w:rsidR="00BA2001" w:rsidRDefault="00436900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           1) на выполнение работы по техническому сопровождению и эксплуатации, выводу из эксплуатации информационных систем и компонентов информационно-телекоммуникационн</w:t>
      </w:r>
      <w:r>
        <w:rPr>
          <w:rFonts w:ascii="Calibri" w:eastAsia="Calibri" w:hAnsi="Calibri" w:cs="Calibri"/>
          <w:color w:val="000000"/>
          <w:sz w:val="28"/>
          <w:szCs w:val="28"/>
        </w:rPr>
        <w:t>ой инфраструктуры, содержащее количественные показатели результатов деятельности ГБУ «Безопасный регион» по достижению стратегических целей и задач развития на 2021 в следующих объемах:</w:t>
      </w:r>
    </w:p>
    <w:p w:rsidR="00BA2001" w:rsidRDefault="00436900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- 1 250 000 шт. вынесенных и отправленных постановлений о наруш</w:t>
      </w:r>
      <w:r>
        <w:rPr>
          <w:rFonts w:ascii="Calibri" w:eastAsia="Calibri" w:hAnsi="Calibri" w:cs="Calibri"/>
          <w:color w:val="000000"/>
          <w:sz w:val="28"/>
          <w:szCs w:val="28"/>
        </w:rPr>
        <w:t>ениях правил дорожного движения. Исполнение составило 1 256 910 шт. постановлений;</w:t>
      </w:r>
    </w:p>
    <w:p w:rsidR="00BA2001" w:rsidRDefault="00436900">
      <w:pPr>
        <w:spacing w:line="214" w:lineRule="auto"/>
        <w:jc w:val="both"/>
        <w:rPr>
          <w:color w:val="000000"/>
        </w:rPr>
      </w:pPr>
      <w:r>
        <w:rPr>
          <w:rFonts w:ascii="Courier New" w:eastAsia="Courier New" w:hAnsi="Courier New" w:cs="Courier New"/>
          <w:color w:val="000000"/>
          <w:sz w:val="28"/>
          <w:szCs w:val="28"/>
        </w:rPr>
        <w:t> 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 в рамках разработки, создания, обслуживания аппаратно-программного комплекса для обеспечения бесперебойной и безаварийной работы системы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фотовидеофиксации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нарушений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авил дорожного движения:</w:t>
      </w:r>
    </w:p>
    <w:p w:rsidR="00BA2001" w:rsidRDefault="00436900">
      <w:pPr>
        <w:spacing w:line="214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- средний срок простоя государственных информационных систем в результате компьютерных атак, план не более 70 часов, факт 40 часов;  </w:t>
      </w:r>
    </w:p>
    <w:p w:rsidR="00BA2001" w:rsidRDefault="00436900">
      <w:pPr>
        <w:spacing w:line="214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- количество созданных и обслуживаемых аппаратно-программных комплексов, план 1, фак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1;</w:t>
      </w:r>
    </w:p>
    <w:p w:rsidR="00BA2001" w:rsidRDefault="00436900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 xml:space="preserve">- в рамках обслуживания и поддержания функционирования АПК «Безопасный город» показатель количества сбоев в системе, повлекшее за собой ее неработоспособность в течение 24 часов и более - 23/67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усл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. ед. Показатель исполнения – 21/60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усл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 ед.;</w:t>
      </w:r>
      <w:proofErr w:type="gramEnd"/>
    </w:p>
    <w:p w:rsidR="00BA2001" w:rsidRDefault="00436900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       -  количество обслуживаемых IP камер наружного видеонаблюдения - 124 шт.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Исполнен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в полном объеме;</w:t>
      </w:r>
    </w:p>
    <w:p w:rsidR="00BA2001" w:rsidRDefault="00436900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 2) на выполнение работы по сопровождению и модернизации комплексной системы предоставления государственных и муниципальных услуг Пензенской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области, содержащее показатели результатов деятельности в следующих объемах:</w:t>
      </w:r>
    </w:p>
    <w:p w:rsidR="00BA2001" w:rsidRDefault="00436900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      - консультационное сопровождение пользователей при регистрации, тестировании и работе  КСПГМУ  - план 1 890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усл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 ед.;</w:t>
      </w:r>
    </w:p>
    <w:p w:rsidR="00BA2001" w:rsidRDefault="00436900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- количество сопровождаемых услуг в соот</w:t>
      </w:r>
      <w:r>
        <w:rPr>
          <w:rFonts w:ascii="Calibri" w:eastAsia="Calibri" w:hAnsi="Calibri" w:cs="Calibri"/>
          <w:color w:val="000000"/>
          <w:sz w:val="28"/>
          <w:szCs w:val="28"/>
        </w:rPr>
        <w:t>ветствии с требованиями Постановления Правительства РФ от 26.03.2016 № 236 «О требованиях к предоставлению в электронной форме государственных и муниципальных услуг» и сводными матрицами составов  действий, выполнение которых обеспечивается заявителю в эле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ктронной форме – 6 486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усл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 ед.;</w:t>
      </w:r>
    </w:p>
    <w:p w:rsidR="00BA2001" w:rsidRDefault="00436900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-     количество сопровождаемых сервисов – не менее 70 ед.;</w:t>
      </w:r>
    </w:p>
    <w:p w:rsidR="00BA2001" w:rsidRDefault="00436900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- количество сбоев в системе, повлекших за собой ее неработоспособность в течение 24 часов и более; Суммарное время недоступности системы за год (з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а исключением времени для проведения регламентных работ) -  24/70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усл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 ед.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      Показатели государственного задания на выполнение работы по сопровождению и модернизации комплексной системы предоставления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государственных и муниципальных услуг Пензенско</w:t>
      </w:r>
      <w:r>
        <w:rPr>
          <w:rFonts w:ascii="Calibri" w:eastAsia="Calibri" w:hAnsi="Calibri" w:cs="Calibri"/>
          <w:color w:val="000000"/>
          <w:sz w:val="28"/>
          <w:szCs w:val="28"/>
        </w:rPr>
        <w:t>й области выполнены в полном объеме.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Бюджетному учреждению Пензенской области «Аэропорт города Пензы» в целях осуществления деятельности, предусмотренной Уставом, утверждено государственное задание на организацию работ по обслуживанию населения воздушным </w:t>
      </w:r>
      <w:r>
        <w:rPr>
          <w:rFonts w:ascii="Calibri" w:eastAsia="Calibri" w:hAnsi="Calibri" w:cs="Calibri"/>
          <w:color w:val="000000"/>
          <w:sz w:val="28"/>
          <w:szCs w:val="28"/>
        </w:rPr>
        <w:t>транспортом с показателями: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количество отправленных пассажиров: план -77008 чел., факт-11000 чел.;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количество прибывших пассажиров: план -77008 чел., факт – 102000 чел.</w:t>
      </w:r>
    </w:p>
    <w:p w:rsidR="00BA2001" w:rsidRDefault="00436900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Сведения о финансовых вложениях по состоянию на 01.01.2022 г. приведены в ф. 0503</w:t>
      </w:r>
      <w:r>
        <w:rPr>
          <w:rFonts w:ascii="Calibri" w:eastAsia="Calibri" w:hAnsi="Calibri" w:cs="Calibri"/>
          <w:color w:val="000000"/>
          <w:sz w:val="28"/>
          <w:szCs w:val="28"/>
        </w:rPr>
        <w:t>171 приложения.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Финансовые вложения – участие в ГБУ «Безопасный регион» - 305 041,5 тыс. руб., участие в ГБУ ПО «Аэропорт города Пенза»» - 194 081,2тыс. руб., </w:t>
      </w:r>
    </w:p>
    <w:p w:rsidR="00BA2001" w:rsidRDefault="00436900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BA2001" w:rsidRDefault="00436900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 Министерством не производилось отвлечение бюджетных сре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дств в ф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инансовые вложения </w:t>
      </w:r>
      <w:r>
        <w:rPr>
          <w:rFonts w:ascii="Calibri" w:eastAsia="Calibri" w:hAnsi="Calibri" w:cs="Calibri"/>
          <w:color w:val="000000"/>
          <w:sz w:val="28"/>
          <w:szCs w:val="28"/>
        </w:rPr>
        <w:t>(депозиты, акции, облигации, векселя, уставные фонды и т. п). Долговых обязательств по кредитам не имеется.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Недостач и хищений денежных средств и материальных ценностей в отчетном году не установлено.</w:t>
      </w:r>
    </w:p>
    <w:p w:rsidR="00BA2001" w:rsidRDefault="00436900">
      <w:pPr>
        <w:spacing w:line="300" w:lineRule="atLeast"/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BA2001" w:rsidRDefault="00436900">
      <w:pPr>
        <w:spacing w:line="300" w:lineRule="atLeast"/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BA2001" w:rsidRDefault="00436900">
      <w:pPr>
        <w:spacing w:line="300" w:lineRule="atLeast"/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5. Прочие вопросы деятельности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Бюджетный учет осуществляется на основании оформленных надлежащим образом первичных документов. Ведение бюджетного учета и формирование бюджетной отчетности  полностью осуществляется при помощи программы АС «Смета». </w:t>
      </w:r>
    </w:p>
    <w:p w:rsidR="00BA2001" w:rsidRDefault="00436900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В отчетном периоде Министерством осущес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твлялись мероприятия по внутреннему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контролю за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соблюдением требований бюджетного законодательства, соблюдением финансовой дисциплины и эффективным использованием материальных и финансовых ресурсов, а также правильным ведением бюджетного учета и составлени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ем отчетности. </w:t>
      </w:r>
    </w:p>
    <w:p w:rsidR="00BA2001" w:rsidRDefault="00436900">
      <w:pPr>
        <w:numPr>
          <w:ilvl w:val="0"/>
          <w:numId w:val="4"/>
        </w:numPr>
        <w:spacing w:line="320" w:lineRule="atLeast"/>
        <w:ind w:left="0"/>
        <w:jc w:val="both"/>
        <w:rPr>
          <w:rFonts w:ascii="Calibri" w:eastAsia="Calibri" w:hAnsi="Calibri" w:cs="Calibri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Инвентаризация имущества и обязатель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ств пр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оведена по состоянию на 01.12.2021 г. в целях составления годовой бухгалтерской отчетности на основании приказа от 30.11.2021 № 328-о/д. Расхождений фактического наличия с данными бюджетного учета н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е установлено. Выверка расчетов с поставщиками, с внебюджетными фондами проведена. Расхождений не установлено. В соответствии с федеральным стандартом бухгалтерского учета государственных финансов «Нематериальные активы», утвержденного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приказом Министерств</w:t>
      </w:r>
      <w:r>
        <w:rPr>
          <w:rFonts w:ascii="Calibri" w:eastAsia="Calibri" w:hAnsi="Calibri" w:cs="Calibri"/>
          <w:color w:val="000000"/>
          <w:sz w:val="28"/>
          <w:szCs w:val="28"/>
        </w:rPr>
        <w:t>а финансов Российской Федерации от 29.11.2019 № 181Н «Об утверждении федерального стандарта бухгалтерского учета государственных финансов «Нематериальные активы» проведена инвентаризация нематериальных активов по состоянию на 01 января 2021 года.</w:t>
      </w:r>
    </w:p>
    <w:p w:rsidR="00BA2001" w:rsidRDefault="00436900">
      <w:pPr>
        <w:spacing w:line="300" w:lineRule="atLeast"/>
        <w:ind w:left="36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В св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язи с отсутствием числового значения у всех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показателей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предусмотренных формами бюджетной отчетности, в составе бюджетной отчетности за 2021 год отсутствуют следующие формы отчетности:</w:t>
      </w:r>
    </w:p>
    <w:p w:rsidR="00BA2001" w:rsidRDefault="00436900">
      <w:pPr>
        <w:spacing w:line="300" w:lineRule="atLeast"/>
        <w:ind w:left="36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softHyphen/>
        <w:t>-   таблица 6 «Сведения о проведении инвентаризаций»;</w:t>
      </w:r>
    </w:p>
    <w:p w:rsidR="00BA2001" w:rsidRDefault="00436900">
      <w:pPr>
        <w:spacing w:line="300" w:lineRule="atLeast"/>
        <w:ind w:left="36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форма 0503166 </w:t>
      </w:r>
      <w:r>
        <w:rPr>
          <w:rFonts w:ascii="Calibri" w:eastAsia="Calibri" w:hAnsi="Calibri" w:cs="Calibri"/>
          <w:color w:val="000000"/>
          <w:sz w:val="28"/>
          <w:szCs w:val="28"/>
        </w:rPr>
        <w:t>«Сведения об исполнении мероприятий в рамках целевых программ»;</w:t>
      </w:r>
    </w:p>
    <w:p w:rsidR="00BA2001" w:rsidRDefault="00436900">
      <w:pPr>
        <w:numPr>
          <w:ilvl w:val="0"/>
          <w:numId w:val="5"/>
        </w:numPr>
        <w:spacing w:line="300" w:lineRule="atLeast"/>
        <w:ind w:left="640"/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форма 0503167 «Сведения о целевых иностранных кредитах»;</w:t>
      </w:r>
    </w:p>
    <w:p w:rsidR="00BA2001" w:rsidRDefault="00436900">
      <w:pPr>
        <w:numPr>
          <w:ilvl w:val="0"/>
          <w:numId w:val="5"/>
        </w:numPr>
        <w:spacing w:line="300" w:lineRule="atLeast"/>
        <w:ind w:left="640"/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форма 0503172 «Сведения о государственном (муниципальном) долге»;</w:t>
      </w:r>
    </w:p>
    <w:p w:rsidR="00BA2001" w:rsidRDefault="00436900">
      <w:pPr>
        <w:numPr>
          <w:ilvl w:val="0"/>
          <w:numId w:val="5"/>
        </w:numPr>
        <w:spacing w:line="300" w:lineRule="atLeast"/>
        <w:ind w:left="640"/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форма 0503174 «Сведения о доходах бюджета от перечисления части прибы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ли (дивидендов) государственных (муниципальных) унитарных предприятий, иных организаций с государственным участием в капитале; </w:t>
      </w:r>
    </w:p>
    <w:p w:rsidR="00BA2001" w:rsidRDefault="00436900">
      <w:pPr>
        <w:numPr>
          <w:ilvl w:val="0"/>
          <w:numId w:val="5"/>
        </w:numPr>
        <w:spacing w:line="300" w:lineRule="atLeast"/>
        <w:ind w:left="640"/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форма 0503184 «Справка о суммах консолидированных поступлений, подлежащих зачислению на счет бюджета»;</w:t>
      </w:r>
    </w:p>
    <w:p w:rsidR="00BA2001" w:rsidRDefault="00436900">
      <w:pPr>
        <w:numPr>
          <w:ilvl w:val="0"/>
          <w:numId w:val="5"/>
        </w:numPr>
        <w:spacing w:line="300" w:lineRule="atLeast"/>
        <w:ind w:left="640"/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форма 0503190 «Сведения о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вложениях в объекты недвижимого имущества, объектах незавершенного строительства»;</w:t>
      </w:r>
    </w:p>
    <w:p w:rsidR="00BA2001" w:rsidRDefault="00436900">
      <w:pPr>
        <w:numPr>
          <w:ilvl w:val="0"/>
          <w:numId w:val="5"/>
        </w:numPr>
        <w:spacing w:line="300" w:lineRule="atLeast"/>
        <w:ind w:left="640"/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форма 0503296 « Сведения об исполнении судебных решений по денежным обязательствам бюджета».</w:t>
      </w:r>
    </w:p>
    <w:p w:rsidR="00BA2001" w:rsidRDefault="00436900">
      <w:pPr>
        <w:pBdr>
          <w:bottom w:val="single" w:sz="12" w:space="0" w:color="000000"/>
        </w:pBdr>
        <w:rPr>
          <w:color w:val="000000"/>
        </w:rPr>
      </w:pPr>
      <w:r>
        <w:rPr>
          <w:rFonts w:ascii="Courier New" w:eastAsia="Courier New" w:hAnsi="Courier New" w:cs="Courier New"/>
          <w:color w:val="000000"/>
          <w:sz w:val="28"/>
          <w:szCs w:val="28"/>
        </w:rPr>
        <w:t> </w:t>
      </w:r>
    </w:p>
    <w:p w:rsidR="00BA2001" w:rsidRDefault="00436900">
      <w:pPr>
        <w:pBdr>
          <w:bottom w:val="single" w:sz="12" w:space="0" w:color="000000"/>
        </w:pBdr>
        <w:rPr>
          <w:color w:val="000000"/>
        </w:rPr>
      </w:pPr>
      <w:r>
        <w:rPr>
          <w:rFonts w:ascii="Courier New" w:eastAsia="Courier New" w:hAnsi="Courier New" w:cs="Courier New"/>
          <w:color w:val="000000"/>
          <w:sz w:val="28"/>
          <w:szCs w:val="28"/>
        </w:rPr>
        <w:t> </w:t>
      </w:r>
    </w:p>
    <w:p w:rsidR="00BA2001" w:rsidRDefault="00436900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BA2001" w:rsidRDefault="00436900">
      <w:r>
        <w:t> </w:t>
      </w:r>
    </w:p>
    <w:p w:rsidR="00BA2001" w:rsidRDefault="00436900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38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4716"/>
        <w:gridCol w:w="1432"/>
      </w:tblGrid>
      <w:tr w:rsidR="00BA2001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2001" w:rsidRDefault="0043690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2001" w:rsidRDefault="0043690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2001" w:rsidRDefault="00BA2001"/>
        </w:tc>
      </w:tr>
      <w:tr w:rsidR="00BA2001">
        <w:trPr>
          <w:trHeight w:val="280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BA2001">
            <w:pPr>
              <w:rPr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2001" w:rsidRDefault="0043690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2001" w:rsidRDefault="0043690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BA2001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43690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A2001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2001" w:rsidRDefault="0043690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Руководитель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планово-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2001" w:rsidRDefault="00BA2001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2001" w:rsidRDefault="00BA2001">
            <w:pPr>
              <w:rPr>
                <w:sz w:val="24"/>
              </w:rPr>
            </w:pPr>
          </w:p>
        </w:tc>
      </w:tr>
      <w:tr w:rsidR="00BA2001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2001" w:rsidRDefault="0043690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2001" w:rsidRDefault="0043690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2001" w:rsidRDefault="0043690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BA2001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BA2001">
            <w:pPr>
              <w:rPr>
                <w:sz w:val="24"/>
              </w:rPr>
            </w:pPr>
          </w:p>
        </w:tc>
      </w:tr>
      <w:tr w:rsidR="00BA2001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2001" w:rsidRDefault="0043690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2001" w:rsidRDefault="0043690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001" w:rsidRDefault="00BA2001">
            <w:pPr>
              <w:rPr>
                <w:sz w:val="24"/>
              </w:rPr>
            </w:pPr>
          </w:p>
        </w:tc>
      </w:tr>
      <w:tr w:rsidR="00BA2001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2001" w:rsidRDefault="0043690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бухгалтер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2001" w:rsidRDefault="0043690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2001" w:rsidRDefault="0043690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BA2001">
        <w:trPr>
          <w:trHeight w:val="449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2001" w:rsidRDefault="0043690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"____"   ____________ 20____г.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2001" w:rsidRDefault="00BA2001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2001" w:rsidRDefault="00BA2001">
            <w:pPr>
              <w:rPr>
                <w:sz w:val="24"/>
              </w:rPr>
            </w:pPr>
          </w:p>
        </w:tc>
      </w:tr>
    </w:tbl>
    <w:p w:rsidR="00BA2001" w:rsidRDefault="00436900">
      <w:r>
        <w:rPr>
          <w:rFonts w:ascii="Times New Roman" w:eastAsia="Times New Roman" w:hAnsi="Times New Roman" w:cs="Times New Roman"/>
          <w:sz w:val="24"/>
          <w:szCs w:val="24"/>
        </w:rPr>
        <w:t xml:space="preserve">Документ подписан электронной подписью.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Главный бухгалте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Лисицына Лариса Алексеевна, Сертификат: 7ABF511C5E908D2C6416AFBB68079426C5613E54, Действителен: с 22.12.2021 по 22.03.2023),Руководитель(Балакин Сергей Львович, Сертификат: 2DBC137C3D6DE363F30324D8E279A66124AF0AC2, Действителен: с 27.10.2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021 по 27.01.2023)        </w:t>
      </w:r>
    </w:p>
    <w:sectPr w:rsidR="00BA2001">
      <w:pgSz w:w="12240" w:h="15840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D1652"/>
    <w:multiLevelType w:val="hybridMultilevel"/>
    <w:tmpl w:val="6C36D2E6"/>
    <w:lvl w:ilvl="0" w:tplc="0D707141">
      <w:start w:val="3"/>
      <w:numFmt w:val="decimal"/>
      <w:lvlText w:val="%1."/>
      <w:lvlJc w:val="left"/>
      <w:pPr>
        <w:ind w:left="720" w:hanging="360"/>
      </w:pPr>
    </w:lvl>
    <w:lvl w:ilvl="1" w:tplc="0E6E5471">
      <w:start w:val="1"/>
      <w:numFmt w:val="decimal"/>
      <w:lvlText w:val="%2."/>
      <w:lvlJc w:val="left"/>
      <w:pPr>
        <w:ind w:left="1440" w:hanging="360"/>
      </w:pPr>
    </w:lvl>
    <w:lvl w:ilvl="2" w:tplc="3FECC031">
      <w:start w:val="1"/>
      <w:numFmt w:val="decimal"/>
      <w:lvlText w:val="%3."/>
      <w:lvlJc w:val="left"/>
      <w:pPr>
        <w:ind w:left="2160" w:hanging="360"/>
      </w:pPr>
    </w:lvl>
    <w:lvl w:ilvl="3" w:tplc="1D0EE62E">
      <w:start w:val="1"/>
      <w:numFmt w:val="decimal"/>
      <w:lvlText w:val="%4."/>
      <w:lvlJc w:val="left"/>
      <w:pPr>
        <w:ind w:left="2880" w:hanging="360"/>
      </w:pPr>
    </w:lvl>
    <w:lvl w:ilvl="4" w:tplc="34EAB29C">
      <w:start w:val="1"/>
      <w:numFmt w:val="decimal"/>
      <w:lvlText w:val="%5."/>
      <w:lvlJc w:val="left"/>
      <w:pPr>
        <w:ind w:left="3600" w:hanging="360"/>
      </w:pPr>
    </w:lvl>
    <w:lvl w:ilvl="5" w:tplc="660B9203">
      <w:start w:val="1"/>
      <w:numFmt w:val="decimal"/>
      <w:lvlText w:val="%6."/>
      <w:lvlJc w:val="left"/>
      <w:pPr>
        <w:ind w:left="4320" w:hanging="360"/>
      </w:pPr>
    </w:lvl>
    <w:lvl w:ilvl="6" w:tplc="470715D6">
      <w:start w:val="1"/>
      <w:numFmt w:val="decimal"/>
      <w:lvlText w:val="%7."/>
      <w:lvlJc w:val="left"/>
      <w:pPr>
        <w:ind w:left="5040" w:hanging="360"/>
      </w:pPr>
    </w:lvl>
    <w:lvl w:ilvl="7" w:tplc="611F73EC">
      <w:start w:val="1"/>
      <w:numFmt w:val="decimal"/>
      <w:lvlText w:val="%8."/>
      <w:lvlJc w:val="left"/>
      <w:pPr>
        <w:ind w:left="5760" w:hanging="360"/>
      </w:pPr>
    </w:lvl>
    <w:lvl w:ilvl="8" w:tplc="322C39CE">
      <w:start w:val="1"/>
      <w:numFmt w:val="decimal"/>
      <w:lvlText w:val="%9."/>
      <w:lvlJc w:val="left"/>
      <w:pPr>
        <w:ind w:left="6480" w:hanging="360"/>
      </w:pPr>
    </w:lvl>
  </w:abstractNum>
  <w:abstractNum w:abstractNumId="1">
    <w:nsid w:val="04F5AC66"/>
    <w:multiLevelType w:val="hybridMultilevel"/>
    <w:tmpl w:val="72185F1C"/>
    <w:lvl w:ilvl="0" w:tplc="575AE0DC">
      <w:start w:val="2"/>
      <w:numFmt w:val="decimal"/>
      <w:lvlText w:val="%1."/>
      <w:lvlJc w:val="left"/>
      <w:pPr>
        <w:ind w:left="720" w:hanging="360"/>
      </w:pPr>
    </w:lvl>
    <w:lvl w:ilvl="1" w:tplc="4BF2CB19">
      <w:start w:val="1"/>
      <w:numFmt w:val="decimal"/>
      <w:lvlText w:val="%2."/>
      <w:lvlJc w:val="left"/>
      <w:pPr>
        <w:ind w:left="1440" w:hanging="360"/>
      </w:pPr>
    </w:lvl>
    <w:lvl w:ilvl="2" w:tplc="3BC11B5A">
      <w:start w:val="1"/>
      <w:numFmt w:val="decimal"/>
      <w:lvlText w:val="%3."/>
      <w:lvlJc w:val="left"/>
      <w:pPr>
        <w:ind w:left="2160" w:hanging="360"/>
      </w:pPr>
    </w:lvl>
    <w:lvl w:ilvl="3" w:tplc="7409FF8F">
      <w:start w:val="1"/>
      <w:numFmt w:val="decimal"/>
      <w:lvlText w:val="%4."/>
      <w:lvlJc w:val="left"/>
      <w:pPr>
        <w:ind w:left="2880" w:hanging="360"/>
      </w:pPr>
    </w:lvl>
    <w:lvl w:ilvl="4" w:tplc="40BC8574">
      <w:start w:val="1"/>
      <w:numFmt w:val="decimal"/>
      <w:lvlText w:val="%5."/>
      <w:lvlJc w:val="left"/>
      <w:pPr>
        <w:ind w:left="3600" w:hanging="360"/>
      </w:pPr>
    </w:lvl>
    <w:lvl w:ilvl="5" w:tplc="7F4B1A5E">
      <w:start w:val="1"/>
      <w:numFmt w:val="decimal"/>
      <w:lvlText w:val="%6."/>
      <w:lvlJc w:val="left"/>
      <w:pPr>
        <w:ind w:left="4320" w:hanging="360"/>
      </w:pPr>
    </w:lvl>
    <w:lvl w:ilvl="6" w:tplc="3EFB3CEC">
      <w:start w:val="1"/>
      <w:numFmt w:val="decimal"/>
      <w:lvlText w:val="%7."/>
      <w:lvlJc w:val="left"/>
      <w:pPr>
        <w:ind w:left="5040" w:hanging="360"/>
      </w:pPr>
    </w:lvl>
    <w:lvl w:ilvl="7" w:tplc="3C1222CB">
      <w:start w:val="1"/>
      <w:numFmt w:val="decimal"/>
      <w:lvlText w:val="%8."/>
      <w:lvlJc w:val="left"/>
      <w:pPr>
        <w:ind w:left="5760" w:hanging="360"/>
      </w:pPr>
    </w:lvl>
    <w:lvl w:ilvl="8" w:tplc="572C240F">
      <w:start w:val="1"/>
      <w:numFmt w:val="decimal"/>
      <w:lvlText w:val="%9."/>
      <w:lvlJc w:val="left"/>
      <w:pPr>
        <w:ind w:left="6480" w:hanging="360"/>
      </w:pPr>
    </w:lvl>
  </w:abstractNum>
  <w:abstractNum w:abstractNumId="2">
    <w:nsid w:val="1D3C43A0"/>
    <w:multiLevelType w:val="hybridMultilevel"/>
    <w:tmpl w:val="24F63ACA"/>
    <w:lvl w:ilvl="0" w:tplc="10D6B003">
      <w:start w:val="1"/>
      <w:numFmt w:val="decimal"/>
      <w:lvlText w:val="%1."/>
      <w:lvlJc w:val="left"/>
      <w:pPr>
        <w:ind w:left="720" w:hanging="360"/>
      </w:pPr>
    </w:lvl>
    <w:lvl w:ilvl="1" w:tplc="259CDDAC">
      <w:start w:val="1"/>
      <w:numFmt w:val="decimal"/>
      <w:lvlText w:val="%2."/>
      <w:lvlJc w:val="left"/>
      <w:pPr>
        <w:ind w:left="1440" w:hanging="360"/>
      </w:pPr>
    </w:lvl>
    <w:lvl w:ilvl="2" w:tplc="6FC848E3">
      <w:start w:val="1"/>
      <w:numFmt w:val="decimal"/>
      <w:lvlText w:val="%3."/>
      <w:lvlJc w:val="left"/>
      <w:pPr>
        <w:ind w:left="2160" w:hanging="360"/>
      </w:pPr>
    </w:lvl>
    <w:lvl w:ilvl="3" w:tplc="3C35650D">
      <w:start w:val="1"/>
      <w:numFmt w:val="decimal"/>
      <w:lvlText w:val="%4."/>
      <w:lvlJc w:val="left"/>
      <w:pPr>
        <w:ind w:left="2880" w:hanging="360"/>
      </w:pPr>
    </w:lvl>
    <w:lvl w:ilvl="4" w:tplc="700C5F81">
      <w:start w:val="1"/>
      <w:numFmt w:val="decimal"/>
      <w:lvlText w:val="%5."/>
      <w:lvlJc w:val="left"/>
      <w:pPr>
        <w:ind w:left="3600" w:hanging="360"/>
      </w:pPr>
    </w:lvl>
    <w:lvl w:ilvl="5" w:tplc="0B0C7D06">
      <w:start w:val="1"/>
      <w:numFmt w:val="decimal"/>
      <w:lvlText w:val="%6."/>
      <w:lvlJc w:val="left"/>
      <w:pPr>
        <w:ind w:left="4320" w:hanging="360"/>
      </w:pPr>
    </w:lvl>
    <w:lvl w:ilvl="6" w:tplc="79E31065">
      <w:start w:val="1"/>
      <w:numFmt w:val="decimal"/>
      <w:lvlText w:val="%7."/>
      <w:lvlJc w:val="left"/>
      <w:pPr>
        <w:ind w:left="5040" w:hanging="360"/>
      </w:pPr>
    </w:lvl>
    <w:lvl w:ilvl="7" w:tplc="393D3E9E">
      <w:start w:val="1"/>
      <w:numFmt w:val="decimal"/>
      <w:lvlText w:val="%8."/>
      <w:lvlJc w:val="left"/>
      <w:pPr>
        <w:ind w:left="5760" w:hanging="360"/>
      </w:pPr>
    </w:lvl>
    <w:lvl w:ilvl="8" w:tplc="29E96A36">
      <w:start w:val="1"/>
      <w:numFmt w:val="decimal"/>
      <w:lvlText w:val="%9."/>
      <w:lvlJc w:val="left"/>
      <w:pPr>
        <w:ind w:left="6480" w:hanging="360"/>
      </w:pPr>
    </w:lvl>
  </w:abstractNum>
  <w:abstractNum w:abstractNumId="3">
    <w:nsid w:val="3DD3CA0B"/>
    <w:multiLevelType w:val="hybridMultilevel"/>
    <w:tmpl w:val="0F50E150"/>
    <w:lvl w:ilvl="0" w:tplc="48EE51CF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2FC1D2F5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06933DF5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4A488F7A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5A26B570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4DB9B6CC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6AA0FE3F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0A066A08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4D2C24C8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4">
    <w:nsid w:val="772AC39B"/>
    <w:multiLevelType w:val="hybridMultilevel"/>
    <w:tmpl w:val="4DF2BE2C"/>
    <w:lvl w:ilvl="0" w:tplc="730996DC">
      <w:start w:val="1"/>
      <w:numFmt w:val="decimal"/>
      <w:lvlText w:val="%1."/>
      <w:lvlJc w:val="left"/>
      <w:pPr>
        <w:ind w:left="720" w:hanging="360"/>
      </w:pPr>
    </w:lvl>
    <w:lvl w:ilvl="1" w:tplc="5189A925">
      <w:start w:val="1"/>
      <w:numFmt w:val="decimal"/>
      <w:lvlText w:val="%2."/>
      <w:lvlJc w:val="left"/>
      <w:pPr>
        <w:ind w:left="1440" w:hanging="360"/>
      </w:pPr>
    </w:lvl>
    <w:lvl w:ilvl="2" w:tplc="3167239D">
      <w:start w:val="1"/>
      <w:numFmt w:val="decimal"/>
      <w:lvlText w:val="%3."/>
      <w:lvlJc w:val="left"/>
      <w:pPr>
        <w:ind w:left="2160" w:hanging="360"/>
      </w:pPr>
    </w:lvl>
    <w:lvl w:ilvl="3" w:tplc="532BD7C9">
      <w:start w:val="1"/>
      <w:numFmt w:val="decimal"/>
      <w:lvlText w:val="%4."/>
      <w:lvlJc w:val="left"/>
      <w:pPr>
        <w:ind w:left="2880" w:hanging="360"/>
      </w:pPr>
    </w:lvl>
    <w:lvl w:ilvl="4" w:tplc="298D1C7D">
      <w:start w:val="1"/>
      <w:numFmt w:val="decimal"/>
      <w:lvlText w:val="%5."/>
      <w:lvlJc w:val="left"/>
      <w:pPr>
        <w:ind w:left="3600" w:hanging="360"/>
      </w:pPr>
    </w:lvl>
    <w:lvl w:ilvl="5" w:tplc="1D543E05">
      <w:start w:val="1"/>
      <w:numFmt w:val="decimal"/>
      <w:lvlText w:val="%6."/>
      <w:lvlJc w:val="left"/>
      <w:pPr>
        <w:ind w:left="4320" w:hanging="360"/>
      </w:pPr>
    </w:lvl>
    <w:lvl w:ilvl="6" w:tplc="5F9B92FB">
      <w:start w:val="1"/>
      <w:numFmt w:val="decimal"/>
      <w:lvlText w:val="%7."/>
      <w:lvlJc w:val="left"/>
      <w:pPr>
        <w:ind w:left="5040" w:hanging="360"/>
      </w:pPr>
    </w:lvl>
    <w:lvl w:ilvl="7" w:tplc="1447801F">
      <w:start w:val="1"/>
      <w:numFmt w:val="decimal"/>
      <w:lvlText w:val="%8."/>
      <w:lvlJc w:val="left"/>
      <w:pPr>
        <w:ind w:left="5760" w:hanging="360"/>
      </w:pPr>
    </w:lvl>
    <w:lvl w:ilvl="8" w:tplc="6F3ED990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001"/>
    <w:rsid w:val="00436900"/>
    <w:rsid w:val="00BA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3690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69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3690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69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2776</Words>
  <Characters>15824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Лисицына Лариса Алексеевна</dc:creator>
  <cp:lastModifiedBy>Лисицина Лариса Алексеевна</cp:lastModifiedBy>
  <cp:revision>2</cp:revision>
  <dcterms:created xsi:type="dcterms:W3CDTF">2023-10-02T12:27:00Z</dcterms:created>
  <dcterms:modified xsi:type="dcterms:W3CDTF">2023-10-02T12:27:00Z</dcterms:modified>
</cp:coreProperties>
</file>